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A4F3" w14:textId="023034DC" w:rsidR="00CC2B8A" w:rsidRPr="007842A1" w:rsidRDefault="007842A1" w:rsidP="00CC2B8A">
      <w:pPr>
        <w:keepNext/>
        <w:keepLines/>
        <w:spacing w:before="120" w:after="120" w:line="360" w:lineRule="auto"/>
        <w:outlineLvl w:val="0"/>
        <w:rPr>
          <w:rFonts w:ascii="Verdana" w:eastAsia="MS Minngs" w:hAnsi="Verdana" w:cs="Calibri Light"/>
          <w:b/>
          <w:color w:val="0D3440"/>
          <w:sz w:val="40"/>
          <w:szCs w:val="40"/>
          <w:lang w:val="es-ES"/>
        </w:rPr>
      </w:pPr>
      <w:r>
        <w:rPr>
          <w:rFonts w:ascii="Verdana" w:eastAsia="MS Minngs" w:hAnsi="Verdana" w:cs="Calibri Light"/>
          <w:b/>
          <w:bCs/>
          <w:color w:val="0D3440"/>
          <w:sz w:val="40"/>
          <w:szCs w:val="40"/>
          <w:lang w:val="es"/>
        </w:rPr>
        <w:t>Modelo</w:t>
      </w:r>
      <w:r w:rsidR="00CC2B8A">
        <w:rPr>
          <w:rFonts w:ascii="Verdana" w:eastAsia="MS Minngs" w:hAnsi="Verdana" w:cs="Calibri Light"/>
          <w:b/>
          <w:bCs/>
          <w:color w:val="0D3440"/>
          <w:sz w:val="40"/>
          <w:szCs w:val="40"/>
          <w:lang w:val="es"/>
        </w:rPr>
        <w:t xml:space="preserve"> de carta para enviar a sus proveedores: Presentación de su nueva política de </w:t>
      </w:r>
      <w:r>
        <w:rPr>
          <w:rFonts w:ascii="Verdana" w:eastAsia="MS Minngs" w:hAnsi="Verdana" w:cs="Calibri Light"/>
          <w:b/>
          <w:bCs/>
          <w:color w:val="0D3440"/>
          <w:sz w:val="40"/>
          <w:szCs w:val="40"/>
          <w:lang w:val="es"/>
        </w:rPr>
        <w:t>debida diligencia</w:t>
      </w:r>
    </w:p>
    <w:p w14:paraId="68A1D651" w14:textId="77777777" w:rsidR="00CC2B8A" w:rsidRPr="00AD2F91" w:rsidRDefault="00CC2B8A" w:rsidP="00CC2B8A">
      <w:pPr>
        <w:adjustRightInd w:val="0"/>
        <w:spacing w:after="210" w:line="276" w:lineRule="auto"/>
        <w:jc w:val="both"/>
        <w:rPr>
          <w:rFonts w:ascii="Verdana" w:hAnsi="Verdana"/>
          <w:sz w:val="20"/>
          <w:szCs w:val="20"/>
          <w:lang w:val="es"/>
        </w:rPr>
      </w:pPr>
      <w:r w:rsidRPr="00AD2F91">
        <w:rPr>
          <w:rFonts w:ascii="Verdana" w:hAnsi="Verdana"/>
          <w:sz w:val="20"/>
          <w:szCs w:val="20"/>
          <w:lang w:val="es"/>
        </w:rPr>
        <w:t>Esta carta puede ser utilizada por las empresas que:</w:t>
      </w:r>
    </w:p>
    <w:p w14:paraId="23A7CBAD" w14:textId="3677D246" w:rsidR="00CC2B8A" w:rsidRPr="007842A1" w:rsidRDefault="00CC2B8A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  <w:lang w:val="es-ES"/>
        </w:rPr>
      </w:pPr>
      <w:r>
        <w:rPr>
          <w:rFonts w:ascii="Verdana" w:eastAsia="Calibri" w:hAnsi="Verdana" w:cs="Arial"/>
          <w:sz w:val="20"/>
          <w:szCs w:val="20"/>
          <w:lang w:val="es"/>
        </w:rPr>
        <w:t xml:space="preserve">deben o deseen cumplir el </w:t>
      </w:r>
      <w:hyperlink r:id="rId9" w:history="1">
        <w:r w:rsidR="007A5342">
          <w:rPr>
            <w:rStyle w:val="Hyperlink"/>
            <w:rFonts w:ascii="Verdana" w:eastAsia="Calibri" w:hAnsi="Verdana" w:cs="Arial"/>
            <w:sz w:val="20"/>
            <w:szCs w:val="20"/>
            <w:lang w:val="es"/>
          </w:rPr>
          <w:t>r</w:t>
        </w:r>
        <w:r w:rsidRPr="00C87BFF">
          <w:rPr>
            <w:rStyle w:val="Hyperlink"/>
            <w:rFonts w:ascii="Verdana" w:eastAsia="Calibri" w:hAnsi="Verdana" w:cs="Arial"/>
            <w:sz w:val="20"/>
            <w:szCs w:val="20"/>
            <w:lang w:val="es"/>
          </w:rPr>
          <w:t>eglamento (</w:t>
        </w:r>
        <w:r w:rsidR="00C87BFF">
          <w:rPr>
            <w:rStyle w:val="Hyperlink"/>
            <w:rFonts w:ascii="Verdana" w:eastAsia="Calibri" w:hAnsi="Verdana" w:cs="Arial"/>
            <w:sz w:val="20"/>
            <w:szCs w:val="20"/>
            <w:lang w:val="es"/>
          </w:rPr>
          <w:t>U</w:t>
        </w:r>
        <w:r w:rsidRPr="00C87BFF">
          <w:rPr>
            <w:rStyle w:val="Hyperlink"/>
            <w:rFonts w:ascii="Verdana" w:eastAsia="Calibri" w:hAnsi="Verdana" w:cs="Arial"/>
            <w:sz w:val="20"/>
            <w:szCs w:val="20"/>
            <w:lang w:val="es"/>
          </w:rPr>
          <w:t>E) 2017/821</w:t>
        </w:r>
      </w:hyperlink>
      <w:r>
        <w:rPr>
          <w:rFonts w:ascii="Verdana" w:eastAsia="Calibri" w:hAnsi="Verdana" w:cs="Arial"/>
          <w:sz w:val="20"/>
          <w:szCs w:val="20"/>
          <w:lang w:val="es"/>
        </w:rPr>
        <w:t xml:space="preserve"> del Parlamento Europeo y del Consejo por el que se establecen las obligaciones de </w:t>
      </w:r>
      <w:r w:rsidR="007842A1">
        <w:rPr>
          <w:rFonts w:ascii="Verdana" w:eastAsia="Calibri" w:hAnsi="Verdana" w:cs="Arial"/>
          <w:sz w:val="20"/>
          <w:szCs w:val="20"/>
          <w:lang w:val="es"/>
        </w:rPr>
        <w:t>debida diligencia</w:t>
      </w:r>
      <w:r>
        <w:rPr>
          <w:rFonts w:ascii="Verdana" w:eastAsia="Calibri" w:hAnsi="Verdana" w:cs="Arial"/>
          <w:sz w:val="20"/>
          <w:szCs w:val="20"/>
          <w:lang w:val="es"/>
        </w:rPr>
        <w:t xml:space="preserve"> en la cadena de suministro para los importadores de estaño, tantalio y wolframio de la Unión, sus minerales y oro procedentes de zonas de conflicto y de alto riesgo. </w:t>
      </w:r>
    </w:p>
    <w:p w14:paraId="6E15A055" w14:textId="1840A6DA" w:rsidR="00F1545C" w:rsidRPr="007842A1" w:rsidRDefault="007842A1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  <w:lang w:val="es-ES"/>
        </w:rPr>
      </w:pPr>
      <w:r w:rsidRPr="007842A1">
        <w:rPr>
          <w:rFonts w:ascii="Verdana" w:hAnsi="Verdana"/>
          <w:noProof/>
          <w:color w:val="404040"/>
          <w:sz w:val="20"/>
          <w:szCs w:val="20"/>
          <w:lang w:val="e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F2371F8" wp14:editId="034DACD3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5738495" cy="58959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589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37D8" w14:textId="77777777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Estimado </w:t>
                            </w:r>
                            <w:r w:rsidRPr="007842A1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lang w:val="es"/>
                              </w:rPr>
                              <w:t>[escriba el nombre del contacto de su proveedor]:</w:t>
                            </w:r>
                          </w:p>
                          <w:p w14:paraId="63463388" w14:textId="51AEBAAF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Le escribo para informarle de que mi empresa ha decidido aplicar la </w:t>
                            </w:r>
                            <w:r w:rsidR="007842A1"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debida </w:t>
                            </w: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diligencia </w:t>
                            </w:r>
                            <w:r w:rsidR="007842A1"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>e</w:t>
                            </w: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n la cadena de suministro en relación con los minerales. Puede encontrar más información en la directiva adjunta a este correo electrónico. </w:t>
                            </w:r>
                          </w:p>
                          <w:p w14:paraId="1733CEFC" w14:textId="7D1D47E4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lang w:val="es"/>
                              </w:rPr>
                              <w:t>[Si las obligaciones legales lo exigen, añádase:</w:t>
                            </w: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 Esto responde a la adopción del </w:t>
                            </w:r>
                            <w:hyperlink r:id="rId10" w:history="1">
                              <w:r w:rsidRPr="00C87BF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es"/>
                                </w:rPr>
                                <w:t xml:space="preserve">Reglamento (UE) 2017/821 del Parlamento Europeo y del Consejo por el que se establecen las obligaciones de </w:t>
                              </w:r>
                              <w:r w:rsidR="007842A1" w:rsidRPr="00C87BF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es"/>
                                </w:rPr>
                                <w:t xml:space="preserve">debida </w:t>
                              </w:r>
                              <w:r w:rsidRPr="00C87BF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es"/>
                                </w:rPr>
                                <w:t>diligencia en la cadena de suministro para los importadores de estaño, tantalio y wolframio de la Unión, sus minerales y oro procedentes de zonas de conflicto y de alto riesgo</w:t>
                              </w:r>
                            </w:hyperlink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, que define los requisitos de </w:t>
                            </w:r>
                            <w:r w:rsid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>debida diligencia</w:t>
                            </w: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 para los importadores comunitarios de estaño, tantalio y wolframio, sus minerales y oro.]</w:t>
                            </w:r>
                          </w:p>
                          <w:p w14:paraId="39986693" w14:textId="49A0090C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Como parte del compromiso de </w:t>
                            </w:r>
                            <w:r w:rsidRPr="007842A1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lang w:val="es"/>
                              </w:rPr>
                              <w:t>[nombre de su empresa]</w:t>
                            </w: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 con el abastecimiento responsable de minerales, estamos trabajando con nuestros proveedores para comprender los procesos de </w:t>
                            </w:r>
                            <w:r w:rsid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>debida diligencia</w:t>
                            </w: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 que han establecido para gestionar los riesgos en su cadena de suministro. Por lo tanto, le ruego que cumpla con nuestra política y nos comunique información sobre sus prácticas de gestión de riesgos en relación con el abastecimiento responsable de minerales.</w:t>
                            </w:r>
                          </w:p>
                          <w:p w14:paraId="26A3E4C1" w14:textId="77777777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En este contexto, quisiera pedir a su empresa y a sus propios proveedores que nos comuniquen dicha información antes del </w:t>
                            </w:r>
                            <w:r w:rsidRPr="007842A1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lang w:val="es"/>
                              </w:rPr>
                              <w:t>[DD/MM/AAAA]</w:t>
                            </w: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>.</w:t>
                            </w:r>
                            <w:r w:rsidRPr="007842A1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</w:p>
                          <w:p w14:paraId="788B814C" w14:textId="77777777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Si no está en condiciones de compartir esa información por el motivo que sea, estaremos encantados de discutirlo con usted y encontrar una solución que satisfaga nuestras necesidades y responda a sus preocupaciones. </w:t>
                            </w:r>
                          </w:p>
                          <w:p w14:paraId="1AEC41DD" w14:textId="780CF0D5" w:rsidR="00CC2B8A" w:rsidRPr="007842A1" w:rsidRDefault="00CC2B8A" w:rsidP="00B20F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Si desea obtener más información sobre las cadenas de suministro responsables de minerales procedentes de zonas de conflicto y de alto riesgo, así como sobre el reglamento, puede visitar el sitio web de la OCDE a través de este </w:t>
                            </w:r>
                            <w:hyperlink r:id="rId11" w:history="1">
                              <w:r w:rsidRPr="00A92D82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es"/>
                                </w:rPr>
                                <w:t>enlace</w:t>
                              </w:r>
                            </w:hyperlink>
                            <w:bookmarkStart w:id="0" w:name="_GoBack"/>
                            <w:bookmarkEnd w:id="0"/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 y el sitio web de la UE a través de este </w:t>
                            </w:r>
                            <w:hyperlink r:id="rId12" w:history="1">
                              <w:r w:rsidRPr="00C87BF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es"/>
                                </w:rPr>
                                <w:t>enlace</w:t>
                              </w:r>
                            </w:hyperlink>
                            <w:r w:rsidR="00C87BFF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  <w:lang w:val="es"/>
                              </w:rPr>
                              <w:t>.</w:t>
                            </w:r>
                            <w:hyperlink r:id="rId13" w:history="1"/>
                            <w:hyperlink r:id="rId14" w:history="1"/>
                          </w:p>
                          <w:p w14:paraId="74A77B7F" w14:textId="77777777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 xml:space="preserve">No dude en ponerse en contacto conmigo al [introduzca el número de teléfono] o si lo prefiere escribiendo a [introduzca su correo electrónico]. </w:t>
                            </w:r>
                          </w:p>
                          <w:p w14:paraId="5839AA86" w14:textId="77777777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Cs/>
                                <w:sz w:val="20"/>
                                <w:szCs w:val="20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sz w:val="20"/>
                                <w:szCs w:val="20"/>
                                <w:lang w:val="es"/>
                              </w:rPr>
                              <w:t>Saludos cordiales,</w:t>
                            </w:r>
                          </w:p>
                          <w:p w14:paraId="374FCC65" w14:textId="77777777" w:rsidR="00CC2B8A" w:rsidRPr="007842A1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842A1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lang w:val="es"/>
                              </w:rPr>
                              <w:t>[firmas]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7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5pt;margin-top:35.2pt;width:451.85pt;height:464.2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" filled="f" stroked="f">
                <v:textbox>
                  <w:txbxContent>
                    <w:p w14:paraId="2B9737D8" w14:textId="77777777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Estimado </w:t>
                      </w:r>
                      <w:r w:rsidRPr="007842A1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lang w:val="es"/>
                        </w:rPr>
                        <w:t>[escriba el nombre del contacto de su proveedor]:</w:t>
                      </w:r>
                    </w:p>
                    <w:p w14:paraId="63463388" w14:textId="51AEBAAF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Le escribo para informarle de que mi empresa ha decidido aplicar la </w:t>
                      </w:r>
                      <w:r w:rsidR="007842A1"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debida </w:t>
                      </w: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diligencia </w:t>
                      </w:r>
                      <w:r w:rsidR="007842A1"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>e</w:t>
                      </w: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n la cadena de suministro en relación con los minerales. Puede encontrar más información en la directiva adjunta a este correo electrónico. </w:t>
                      </w:r>
                    </w:p>
                    <w:p w14:paraId="1733CEFC" w14:textId="7D1D47E4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7842A1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lang w:val="es"/>
                        </w:rPr>
                        <w:t>[Si las obligaciones legales lo exigen, añádase:</w:t>
                      </w: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 Esto responde a la adopción del </w:t>
                      </w:r>
                      <w:hyperlink r:id="rId15" w:history="1">
                        <w:r w:rsidRPr="00C87BF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es"/>
                          </w:rPr>
                          <w:t xml:space="preserve">Reglamento (UE) 2017/821 del Parlamento Europeo y del Consejo por el que se establecen las obligaciones de </w:t>
                        </w:r>
                        <w:r w:rsidR="007842A1" w:rsidRPr="00C87BF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es"/>
                          </w:rPr>
                          <w:t xml:space="preserve">debida </w:t>
                        </w:r>
                        <w:r w:rsidRPr="00C87BF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es"/>
                          </w:rPr>
                          <w:t>diligencia en la cadena de suministro para los importadores de estaño, tantalio y wolframio de la Unión, sus minerales y oro procedentes de zonas de conflicto y de alto riesgo</w:t>
                        </w:r>
                      </w:hyperlink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, que define los requisitos de </w:t>
                      </w:r>
                      <w:r w:rsid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>debida diligencia</w:t>
                      </w: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 para los importadores comunitarios de estaño, tantalio y wolframio, sus minerales y oro.]</w:t>
                      </w:r>
                    </w:p>
                    <w:p w14:paraId="39986693" w14:textId="49A0090C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Como parte del compromiso de </w:t>
                      </w:r>
                      <w:r w:rsidRPr="007842A1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lang w:val="es"/>
                        </w:rPr>
                        <w:t>[nombre de su empresa]</w:t>
                      </w: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 con el abastecimiento responsable de minerales, estamos trabajando con nuestros proveedores para comprender los procesos de </w:t>
                      </w:r>
                      <w:r w:rsid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>debida diligencia</w:t>
                      </w: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 que han establecido para gestionar los riesgos en su cadena de suministro. Por lo tanto, le ruego que cumpla con nuestra política y nos comunique información sobre sus prácticas de gestión de riesgos en relación con el abastecimiento responsable de minerales.</w:t>
                      </w:r>
                    </w:p>
                    <w:p w14:paraId="26A3E4C1" w14:textId="77777777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En este contexto, quisiera pedir a su empresa y a sus propios proveedores que nos comuniquen dicha información antes del </w:t>
                      </w:r>
                      <w:r w:rsidRPr="007842A1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lang w:val="es"/>
                        </w:rPr>
                        <w:t>[DD/MM/AAAA]</w:t>
                      </w: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>.</w:t>
                      </w:r>
                      <w:r w:rsidRPr="007842A1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</w:p>
                    <w:p w14:paraId="788B814C" w14:textId="77777777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Si no está en condiciones de compartir esa información por el motivo que sea, estaremos encantados de discutirlo con usted y encontrar una solución que satisfaga nuestras necesidades y responda a sus preocupaciones. </w:t>
                      </w:r>
                    </w:p>
                    <w:p w14:paraId="1AEC41DD" w14:textId="780CF0D5" w:rsidR="00CC2B8A" w:rsidRPr="007842A1" w:rsidRDefault="00CC2B8A" w:rsidP="00B20F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Si desea obtener más información sobre las cadenas de suministro responsables de minerales procedentes de zonas de conflicto y de alto riesgo, así como sobre el reglamento, puede visitar el sitio web de la OCDE a través de este </w:t>
                      </w:r>
                      <w:hyperlink r:id="rId16" w:history="1">
                        <w:r w:rsidRPr="00A92D82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es"/>
                          </w:rPr>
                          <w:t>enlace</w:t>
                        </w:r>
                      </w:hyperlink>
                      <w:bookmarkStart w:id="1" w:name="_GoBack"/>
                      <w:bookmarkEnd w:id="1"/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 y el sitio web de la UE a través de este </w:t>
                      </w:r>
                      <w:hyperlink r:id="rId17" w:history="1">
                        <w:r w:rsidRPr="00C87BF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es"/>
                          </w:rPr>
                          <w:t>enlace</w:t>
                        </w:r>
                      </w:hyperlink>
                      <w:r w:rsidR="00C87BFF">
                        <w:rPr>
                          <w:rFonts w:ascii="Verdana" w:hAnsi="Verdana"/>
                          <w:sz w:val="20"/>
                          <w:szCs w:val="20"/>
                          <w:u w:val="single"/>
                          <w:lang w:val="es"/>
                        </w:rPr>
                        <w:t>.</w:t>
                      </w:r>
                      <w:hyperlink r:id="rId18" w:history="1"/>
                      <w:hyperlink r:id="rId19" w:history="1"/>
                    </w:p>
                    <w:p w14:paraId="74A77B7F" w14:textId="77777777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 xml:space="preserve">No dude en ponerse en contacto conmigo al [introduzca el número de teléfono] o si lo prefiere escribiendo a [introduzca su correo electrónico]. </w:t>
                      </w:r>
                    </w:p>
                    <w:p w14:paraId="5839AA86" w14:textId="77777777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Cs/>
                          <w:sz w:val="20"/>
                          <w:szCs w:val="20"/>
                        </w:rPr>
                      </w:pPr>
                      <w:r w:rsidRPr="007842A1">
                        <w:rPr>
                          <w:rFonts w:ascii="Verdana" w:hAnsi="Verdana"/>
                          <w:sz w:val="20"/>
                          <w:szCs w:val="20"/>
                          <w:lang w:val="es"/>
                        </w:rPr>
                        <w:t>Saludos cordiales,</w:t>
                      </w:r>
                    </w:p>
                    <w:p w14:paraId="374FCC65" w14:textId="77777777" w:rsidR="00CC2B8A" w:rsidRPr="007842A1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7842A1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lang w:val="es"/>
                        </w:rPr>
                        <w:t>[firmas]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2B8A" w:rsidRPr="007842A1">
        <w:rPr>
          <w:rFonts w:ascii="Verdana" w:hAnsi="Verdana"/>
          <w:sz w:val="20"/>
          <w:szCs w:val="20"/>
          <w:lang w:val="es"/>
        </w:rPr>
        <w:t>quieran adaptar la carta para cumplir con cualquier iniciativa de abastecimiento responsable.</w:t>
      </w:r>
    </w:p>
    <w:sectPr w:rsidR="00F1545C" w:rsidRPr="007842A1" w:rsidSect="00CC2B8A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6EDA"/>
    <w:multiLevelType w:val="hybridMultilevel"/>
    <w:tmpl w:val="FD2C2EB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8A"/>
    <w:rsid w:val="007842A1"/>
    <w:rsid w:val="007A5342"/>
    <w:rsid w:val="009A0A4C"/>
    <w:rsid w:val="00A92D82"/>
    <w:rsid w:val="00AD2F91"/>
    <w:rsid w:val="00B20FA1"/>
    <w:rsid w:val="00C87BFF"/>
    <w:rsid w:val="00CC2B8A"/>
    <w:rsid w:val="00E1104F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51DA"/>
  <w15:chartTrackingRefBased/>
  <w15:docId w15:val="{5412DC85-19F6-4DCF-B987-E59FF165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CC2B8A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CC2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trade/policy/in-focus/conflict-minerals-regulation/regulation-explained/" TargetMode="External"/><Relationship Id="rId18" Type="http://schemas.openxmlformats.org/officeDocument/2006/relationships/hyperlink" Target="http://ec.europa.eu/trade/policy/in-focus/conflict-minerals-regulation/regulation-explained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ec.europa.eu/trade/policy/in-focus/conflict-minerals-regulation/regulation-explained/" TargetMode="External"/><Relationship Id="rId17" Type="http://schemas.openxmlformats.org/officeDocument/2006/relationships/hyperlink" Target="http://ec.europa.eu/trade/policy/in-focus/conflict-minerals-regulation/regulation-explain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ecd.org/corporate/mne/mining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ecd.org/corporate/mne/mining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ur-lex.europa.eu/legal-content/EN/TXT/PDF/?uri=OJ:L:2017:130:FULL&amp;from=EN" TargetMode="External"/><Relationship Id="rId10" Type="http://schemas.openxmlformats.org/officeDocument/2006/relationships/hyperlink" Target="http://eur-lex.europa.eu/legal-content/EN/TXT/PDF/?uri=OJ:L:2017:130:FULL&amp;from=EN" TargetMode="External"/><Relationship Id="rId19" Type="http://schemas.openxmlformats.org/officeDocument/2006/relationships/hyperlink" Target="https://eur-lex.europa.eu/legal-content/EN/TXT/?qid=1554816272501&amp;uri=COM:2019:176:FI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/\\ell-dc01\CLIENTS\Existing\European%20Commission%20-%20SMEs%20implementation\Translated%20documents\Revised%20documents\Letter%20template\ES\Reglamento%20(CE)%202017\82" TargetMode="External"/><Relationship Id="rId14" Type="http://schemas.openxmlformats.org/officeDocument/2006/relationships/hyperlink" Target="https://eur-lex.europa.eu/legal-content/EN/TXT/?qid=1554816272501&amp;uri=COM:2019:176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87E23-FF2E-4FA2-90F3-B5FE00FA594B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e9eed2f-27c4-4474-ba4f-3601f39e8add"/>
  </ds:schemaRefs>
</ds:datastoreItem>
</file>

<file path=customXml/itemProps2.xml><?xml version="1.0" encoding="utf-8"?>
<ds:datastoreItem xmlns:ds="http://schemas.openxmlformats.org/officeDocument/2006/customXml" ds:itemID="{F62CDAF4-9E1E-4B6C-8715-835020778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C7DD7-14DA-4744-B508-4BE8B1E852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DF9479-4A68-4288-B28B-6FE7C805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Lorenzo</dc:creator>
  <cp:keywords/>
  <dc:description/>
  <cp:lastModifiedBy>Rosanna Tufo</cp:lastModifiedBy>
  <cp:revision>2</cp:revision>
  <dcterms:created xsi:type="dcterms:W3CDTF">2019-11-07T13:35:00Z</dcterms:created>
  <dcterms:modified xsi:type="dcterms:W3CDTF">2019-11-07T13:35:00Z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